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5242" w14:textId="11E88FB8" w:rsidR="008C25D7" w:rsidRDefault="00F057E2" w:rsidP="00F057E2">
      <w:pPr>
        <w:ind w:left="851"/>
        <w:jc w:val="center"/>
        <w:rPr>
          <w:b/>
          <w:color w:val="002060"/>
          <w:sz w:val="32"/>
          <w:szCs w:val="32"/>
        </w:rPr>
      </w:pPr>
      <w:r w:rsidRPr="00F057E2">
        <w:rPr>
          <w:b/>
          <w:noProof/>
          <w:color w:val="002060"/>
          <w:sz w:val="32"/>
          <w:szCs w:val="32"/>
          <w:lang w:eastAsia="fr-FR"/>
        </w:rPr>
        <w:drawing>
          <wp:anchor distT="0" distB="0" distL="114300" distR="114300" simplePos="0" relativeHeight="251659776" behindDoc="0" locked="0" layoutInCell="1" allowOverlap="1" wp14:anchorId="69A16B72" wp14:editId="329B8585">
            <wp:simplePos x="733425" y="352425"/>
            <wp:positionH relativeFrom="margin">
              <wp:align>left</wp:align>
            </wp:positionH>
            <wp:positionV relativeFrom="margin">
              <wp:align>top</wp:align>
            </wp:positionV>
            <wp:extent cx="530225" cy="923925"/>
            <wp:effectExtent l="0" t="0" r="0" b="0"/>
            <wp:wrapSquare wrapText="bothSides"/>
            <wp:docPr id="1" name="Image 0" descr="logo-cgt-educ-t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gt-educ-tr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262" cy="931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5D7" w:rsidRPr="00F057E2">
        <w:rPr>
          <w:b/>
          <w:color w:val="002060"/>
          <w:sz w:val="32"/>
          <w:szCs w:val="32"/>
        </w:rPr>
        <w:t xml:space="preserve">Note CGT </w:t>
      </w:r>
      <w:proofErr w:type="spellStart"/>
      <w:r>
        <w:rPr>
          <w:b/>
          <w:color w:val="002060"/>
          <w:sz w:val="32"/>
          <w:szCs w:val="32"/>
        </w:rPr>
        <w:t>É</w:t>
      </w:r>
      <w:r w:rsidR="008C25D7" w:rsidRPr="00F057E2">
        <w:rPr>
          <w:b/>
          <w:color w:val="002060"/>
          <w:sz w:val="32"/>
          <w:szCs w:val="32"/>
        </w:rPr>
        <w:t>duc’action</w:t>
      </w:r>
      <w:proofErr w:type="spellEnd"/>
      <w:r w:rsidR="008C25D7" w:rsidRPr="00F057E2">
        <w:rPr>
          <w:b/>
          <w:color w:val="002060"/>
          <w:sz w:val="32"/>
          <w:szCs w:val="32"/>
        </w:rPr>
        <w:t xml:space="preserve"> du pôle lycée général et technologique</w:t>
      </w:r>
    </w:p>
    <w:p w14:paraId="50F9A81C" w14:textId="77777777" w:rsidR="008C25D7" w:rsidRPr="008C25D7" w:rsidRDefault="008C25D7" w:rsidP="00F356BF">
      <w:pPr>
        <w:jc w:val="both"/>
        <w:rPr>
          <w:b/>
          <w:smallCaps/>
        </w:rPr>
      </w:pPr>
      <w:r w:rsidRPr="008C25D7">
        <w:rPr>
          <w:b/>
          <w:smallCaps/>
        </w:rPr>
        <w:t>Aide à l’analyse des DHG des LGT - utilisation des tableurs proposés</w:t>
      </w:r>
    </w:p>
    <w:p w14:paraId="14B316DC" w14:textId="009E4698" w:rsidR="00226900" w:rsidRDefault="00AE0475" w:rsidP="00F356BF">
      <w:pPr>
        <w:jc w:val="both"/>
      </w:pPr>
      <w:proofErr w:type="spellStart"/>
      <w:r>
        <w:t>Cher</w:t>
      </w:r>
      <w:r w:rsidR="00F057E2">
        <w:t>·</w:t>
      </w:r>
      <w:r>
        <w:t>es</w:t>
      </w:r>
      <w:proofErr w:type="spellEnd"/>
      <w:r>
        <w:t xml:space="preserve"> camarades, </w:t>
      </w:r>
    </w:p>
    <w:p w14:paraId="3580C3D9" w14:textId="77777777" w:rsidR="007441AC" w:rsidRDefault="00AE0475" w:rsidP="00F356BF">
      <w:pPr>
        <w:jc w:val="both"/>
      </w:pPr>
      <w:r>
        <w:t xml:space="preserve">Afin d’aider les sections syndicales de LGT à analyser leurs Dotations Horaires Globales, vous trouverez en PJ </w:t>
      </w:r>
      <w:r w:rsidR="007441AC">
        <w:t>deux</w:t>
      </w:r>
      <w:r>
        <w:t xml:space="preserve"> tableur</w:t>
      </w:r>
      <w:r w:rsidR="00F356BF">
        <w:t xml:space="preserve">s </w:t>
      </w:r>
      <w:proofErr w:type="spellStart"/>
      <w:r w:rsidR="00F356BF">
        <w:t>excel</w:t>
      </w:r>
      <w:proofErr w:type="spellEnd"/>
      <w:r w:rsidR="00F356BF">
        <w:t> :</w:t>
      </w:r>
    </w:p>
    <w:p w14:paraId="27E63214" w14:textId="77777777" w:rsidR="00F356BF" w:rsidRPr="00F356BF" w:rsidRDefault="00F356BF" w:rsidP="00F356BF">
      <w:pPr>
        <w:pStyle w:val="Paragraphedeliste"/>
        <w:numPr>
          <w:ilvl w:val="0"/>
          <w:numId w:val="2"/>
        </w:numPr>
        <w:jc w:val="both"/>
        <w:rPr>
          <w:b/>
        </w:rPr>
      </w:pPr>
      <w:r w:rsidRPr="00F356BF">
        <w:rPr>
          <w:b/>
        </w:rPr>
        <w:t>TABLEUR 1 : Calcul besoins LGT</w:t>
      </w:r>
    </w:p>
    <w:p w14:paraId="03FE7FA5" w14:textId="0E855CAA" w:rsidR="001F397F" w:rsidRDefault="001F397F" w:rsidP="00F356BF">
      <w:pPr>
        <w:jc w:val="both"/>
      </w:pPr>
      <w:r>
        <w:t xml:space="preserve">Un tutoriel vidéo d’utilisation est disponible ici : </w:t>
      </w:r>
      <w:hyperlink r:id="rId9" w:history="1">
        <w:r w:rsidRPr="00F108E6">
          <w:rPr>
            <w:rStyle w:val="Lienhypertexte"/>
          </w:rPr>
          <w:t>https://drive.google.com/file/d/17_-shKv-5rmsKZUJW_aumq9n-I-wZ3Yk/view</w:t>
        </w:r>
      </w:hyperlink>
    </w:p>
    <w:p w14:paraId="451BDF5D" w14:textId="6A37AD7A" w:rsidR="00F356BF" w:rsidRDefault="00F356BF" w:rsidP="00F356BF">
      <w:pPr>
        <w:jc w:val="both"/>
      </w:pPr>
      <w:r>
        <w:t>Ce tableur comporte de nombreux onglets mais son utilisation est très simple</w:t>
      </w:r>
      <w:r w:rsidR="00022C8D">
        <w:t> : Il suffit de remplir les cases bleu</w:t>
      </w:r>
      <w:r w:rsidR="001F397F">
        <w:t>es</w:t>
      </w:r>
      <w:r w:rsidR="00022C8D">
        <w:t>. Il</w:t>
      </w:r>
      <w:r>
        <w:t xml:space="preserve"> permet de faire le point, sur chacune des sections de l’établissement, sur les besoins. </w:t>
      </w:r>
    </w:p>
    <w:p w14:paraId="4F90EDA2" w14:textId="22E7942B" w:rsidR="001F397F" w:rsidRDefault="00F400C9" w:rsidP="00F356BF">
      <w:pPr>
        <w:jc w:val="both"/>
      </w:pPr>
      <w:r>
        <w:rPr>
          <w:noProof/>
        </w:rPr>
        <w:pict w14:anchorId="7B0DB72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.5pt;margin-top:60.05pt;width:454.65pt;height:324.7pt;z-index:251660800;visibility:visible;mso-wrap-distance-left:9pt;mso-wrap-distance-top:0;mso-wrap-distance-right:9pt;mso-wrap-distance-bottom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14:paraId="36E0B395" w14:textId="33A02948" w:rsidR="00B546AA" w:rsidRDefault="001F397F" w:rsidP="00B546AA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0DA8CEF2" wp14:editId="5803D0F8">
                        <wp:extent cx="4941355" cy="327660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xemple calcul besoins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63472" cy="3291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3416CE1" w14:textId="3D9894B1" w:rsidR="00B546AA" w:rsidRPr="00B546AA" w:rsidRDefault="00B546AA" w:rsidP="00B546AA">
                  <w:pPr>
                    <w:jc w:val="center"/>
                    <w:rPr>
                      <w:i/>
                    </w:rPr>
                  </w:pPr>
                  <w:r w:rsidRPr="00B546AA">
                    <w:rPr>
                      <w:i/>
                    </w:rPr>
                    <w:t>Exemple d’utilisation pour les enseignements communs en 2</w:t>
                  </w:r>
                  <w:r w:rsidRPr="00B546AA">
                    <w:rPr>
                      <w:i/>
                      <w:vertAlign w:val="superscript"/>
                    </w:rPr>
                    <w:t>nde</w:t>
                  </w:r>
                  <w:r w:rsidRPr="00B546AA">
                    <w:rPr>
                      <w:i/>
                    </w:rPr>
                    <w:t>.</w:t>
                  </w:r>
                  <w:r>
                    <w:rPr>
                      <w:i/>
                    </w:rPr>
                    <w:t xml:space="preserve"> Possibilité d’entrer librement le nombre d’heures prof par groupe mais aussi le nombre de groupes (ici un exemple avec des groupes limités à 24 élèves en SES)</w:t>
                  </w:r>
                </w:p>
                <w:p w14:paraId="39771C0B" w14:textId="6DAFD5C5" w:rsidR="001F397F" w:rsidRPr="00B546AA" w:rsidRDefault="001F397F" w:rsidP="00B546AA">
                  <w:pPr>
                    <w:jc w:val="center"/>
                  </w:pPr>
                </w:p>
              </w:txbxContent>
            </v:textbox>
            <w10:wrap type="topAndBottom"/>
          </v:shape>
        </w:pict>
      </w:r>
      <w:r w:rsidR="00F356BF">
        <w:t>Le premier ongl</w:t>
      </w:r>
      <w:r w:rsidR="00022C8D">
        <w:t xml:space="preserve">et (« TOTAL ») ne doit pas </w:t>
      </w:r>
      <w:r w:rsidR="001F397F">
        <w:t xml:space="preserve">être </w:t>
      </w:r>
      <w:r w:rsidR="00022C8D">
        <w:t>modifi</w:t>
      </w:r>
      <w:r w:rsidR="001F397F">
        <w:t>é</w:t>
      </w:r>
      <w:r w:rsidR="00F356BF">
        <w:t>. Il est la synthèse des besoins qui sortira lorsque les autres onglets seront remplis. Comment remplir est expliqué dans chaque onglet (1 pour chaque section et niveau).</w:t>
      </w:r>
    </w:p>
    <w:p w14:paraId="5954D22B" w14:textId="15972A60" w:rsidR="00F356BF" w:rsidRDefault="00F356BF" w:rsidP="00F356BF">
      <w:pPr>
        <w:jc w:val="both"/>
      </w:pPr>
    </w:p>
    <w:p w14:paraId="2D4090EB" w14:textId="4776A46F" w:rsidR="001F397F" w:rsidRDefault="001F397F" w:rsidP="00F356BF">
      <w:pPr>
        <w:jc w:val="both"/>
      </w:pPr>
      <w:r>
        <w:t>N’hésitez pas à nous faire des remontées sur l’utilisation de cet outil.</w:t>
      </w:r>
    </w:p>
    <w:p w14:paraId="2D8F0214" w14:textId="77777777" w:rsidR="000F20BC" w:rsidRDefault="000F20BC" w:rsidP="00F356BF">
      <w:pPr>
        <w:jc w:val="both"/>
      </w:pPr>
    </w:p>
    <w:p w14:paraId="260F9E3B" w14:textId="1B05B5F2" w:rsidR="007441AC" w:rsidRPr="00300CC3" w:rsidRDefault="00F356BF" w:rsidP="00F356BF">
      <w:pPr>
        <w:pStyle w:val="Paragraphedeliste"/>
        <w:numPr>
          <w:ilvl w:val="0"/>
          <w:numId w:val="2"/>
        </w:numPr>
        <w:jc w:val="both"/>
        <w:rPr>
          <w:b/>
        </w:rPr>
      </w:pPr>
      <w:r>
        <w:rPr>
          <w:b/>
        </w:rPr>
        <w:lastRenderedPageBreak/>
        <w:t xml:space="preserve">TABLEUR 2 : </w:t>
      </w:r>
      <w:r w:rsidR="007441AC" w:rsidRPr="00300CC3">
        <w:rPr>
          <w:b/>
        </w:rPr>
        <w:t>Calcul</w:t>
      </w:r>
      <w:r w:rsidR="00B546AA">
        <w:rPr>
          <w:b/>
        </w:rPr>
        <w:t xml:space="preserve"> </w:t>
      </w:r>
      <w:r w:rsidR="007441AC" w:rsidRPr="00300CC3">
        <w:rPr>
          <w:b/>
        </w:rPr>
        <w:t>DHG</w:t>
      </w:r>
      <w:r w:rsidR="00B546AA">
        <w:rPr>
          <w:b/>
        </w:rPr>
        <w:t xml:space="preserve"> </w:t>
      </w:r>
      <w:r w:rsidR="007441AC" w:rsidRPr="00300CC3">
        <w:rPr>
          <w:b/>
        </w:rPr>
        <w:t xml:space="preserve">LGT : </w:t>
      </w:r>
    </w:p>
    <w:p w14:paraId="08C10CA4" w14:textId="22EFB95D" w:rsidR="00B546AA" w:rsidRDefault="00B546AA" w:rsidP="00F356BF">
      <w:pPr>
        <w:jc w:val="both"/>
      </w:pPr>
      <w:r>
        <w:t xml:space="preserve">Un tutoriel vidéo d’utilisation est disponible ici : </w:t>
      </w:r>
      <w:hyperlink r:id="rId11" w:history="1">
        <w:r w:rsidRPr="00F108E6">
          <w:rPr>
            <w:rStyle w:val="Lienhypertexte"/>
          </w:rPr>
          <w:t>https://drive.google.com/file/d/165vYlRBNHua2jj77jj7TDAUOOzI-FO7b/view</w:t>
        </w:r>
      </w:hyperlink>
    </w:p>
    <w:p w14:paraId="4035F269" w14:textId="2C7ECDC7" w:rsidR="007441AC" w:rsidRDefault="007441AC" w:rsidP="00F356BF">
      <w:pPr>
        <w:jc w:val="both"/>
      </w:pPr>
      <w:r>
        <w:t>Ce</w:t>
      </w:r>
      <w:r w:rsidR="00B546AA">
        <w:t xml:space="preserve"> tableur</w:t>
      </w:r>
      <w:r>
        <w:t xml:space="preserve"> permet de vérifier si votre DHG est conforme </w:t>
      </w:r>
      <w:r w:rsidR="00F356BF">
        <w:t>aux minimums légaux</w:t>
      </w:r>
      <w:r>
        <w:t xml:space="preserve">. Suivant les académies, il y a deux possibilités : </w:t>
      </w:r>
    </w:p>
    <w:p w14:paraId="70A169BA" w14:textId="0E1587F0" w:rsidR="00300CC3" w:rsidRDefault="007441AC" w:rsidP="00F356BF">
      <w:pPr>
        <w:pStyle w:val="Paragraphedeliste"/>
        <w:numPr>
          <w:ilvl w:val="0"/>
          <w:numId w:val="2"/>
        </w:numPr>
        <w:jc w:val="both"/>
      </w:pPr>
      <w:r w:rsidRPr="00F356BF">
        <w:rPr>
          <w:b/>
        </w:rPr>
        <w:t xml:space="preserve">Dotation à la </w:t>
      </w:r>
      <w:r w:rsidR="00B546AA">
        <w:rPr>
          <w:b/>
        </w:rPr>
        <w:t>s</w:t>
      </w:r>
      <w:r w:rsidRPr="00F356BF">
        <w:rPr>
          <w:b/>
        </w:rPr>
        <w:t>tructure :</w:t>
      </w:r>
      <w:r>
        <w:t xml:space="preserve"> Les moyens sont alloué</w:t>
      </w:r>
      <w:r w:rsidR="00300CC3">
        <w:t>s pour chaque division calibrée sur 35 élèves</w:t>
      </w:r>
      <w:r w:rsidR="00022C8D">
        <w:t xml:space="preserve"> en général (quelques cas particulier à </w:t>
      </w:r>
      <w:r w:rsidR="00B546AA">
        <w:t>30 ou 32 élèves</w:t>
      </w:r>
      <w:r w:rsidR="00022C8D">
        <w:t>)</w:t>
      </w:r>
      <w:r w:rsidR="00300CC3">
        <w:t xml:space="preserve">. </w:t>
      </w:r>
      <w:r>
        <w:t>Chaque division dispose d’un nombre fixe correspondant à</w:t>
      </w:r>
      <w:r w:rsidR="00300CC3">
        <w:t xml:space="preserve"> l’horaire </w:t>
      </w:r>
      <w:r w:rsidR="00022C8D">
        <w:t>légal</w:t>
      </w:r>
      <w:r w:rsidR="00300CC3">
        <w:t xml:space="preserve"> de</w:t>
      </w:r>
      <w:r w:rsidR="00022C8D">
        <w:t xml:space="preserve"> la</w:t>
      </w:r>
      <w:r w:rsidR="00300CC3">
        <w:t xml:space="preserve"> classe</w:t>
      </w:r>
      <w:r w:rsidR="00F057E2">
        <w:t>.</w:t>
      </w:r>
      <w:r w:rsidR="00300CC3">
        <w:t xml:space="preserve"> </w:t>
      </w:r>
    </w:p>
    <w:p w14:paraId="7B61FEA0" w14:textId="60C4B663" w:rsidR="007441AC" w:rsidRDefault="00F057E2" w:rsidP="00F356BF">
      <w:pPr>
        <w:ind w:left="360"/>
        <w:jc w:val="both"/>
      </w:pPr>
      <w:r>
        <w:t>P</w:t>
      </w:r>
      <w:r w:rsidR="007441AC">
        <w:t>ar exemple</w:t>
      </w:r>
      <w:r w:rsidR="00B546AA">
        <w:t xml:space="preserve"> en seconde générale :</w:t>
      </w:r>
      <w:r w:rsidR="007441AC">
        <w:t xml:space="preserve"> 26,</w:t>
      </w:r>
      <w:r w:rsidR="00300CC3">
        <w:t>5</w:t>
      </w:r>
      <w:r w:rsidR="007441AC">
        <w:t>h + 12h d’autonom</w:t>
      </w:r>
      <w:r w:rsidR="00300CC3">
        <w:t xml:space="preserve">ie = 38,5h </w:t>
      </w:r>
    </w:p>
    <w:p w14:paraId="79723C47" w14:textId="7E338FC2" w:rsidR="00300CC3" w:rsidRDefault="00300CC3" w:rsidP="00F356BF">
      <w:pPr>
        <w:pStyle w:val="Paragraphedeliste"/>
        <w:numPr>
          <w:ilvl w:val="0"/>
          <w:numId w:val="2"/>
        </w:numPr>
        <w:jc w:val="both"/>
      </w:pPr>
      <w:r w:rsidRPr="00F356BF">
        <w:rPr>
          <w:b/>
        </w:rPr>
        <w:t>Dotation à l’élève</w:t>
      </w:r>
      <w:r>
        <w:t> : de plus en plus d’académies calculent les DHG à partir d’un H/E de base par élève et fournissent le nombre d’heures correspondant exactement à l’effectif d’élèves, indépendamment du nombre de div</w:t>
      </w:r>
      <w:r w:rsidR="00137525">
        <w:t>isions. Ce calcul peut s’avérer</w:t>
      </w:r>
      <w:r>
        <w:t xml:space="preserve"> moins </w:t>
      </w:r>
      <w:r w:rsidR="00137525">
        <w:t xml:space="preserve">avantageux </w:t>
      </w:r>
      <w:r>
        <w:t>qu’une dotation à la structure</w:t>
      </w:r>
      <w:r w:rsidR="00137525">
        <w:t>, qui est pourtant celle qui respecte le cadre légal national.</w:t>
      </w:r>
    </w:p>
    <w:p w14:paraId="2E7F6F3F" w14:textId="116307CA" w:rsidR="00300CC3" w:rsidRDefault="00300CC3" w:rsidP="00F356BF">
      <w:pPr>
        <w:ind w:left="360"/>
        <w:jc w:val="both"/>
      </w:pPr>
      <w:r>
        <w:t>Par exemple en seconde générale 1,1h pour chaque élève car 1,1 = 38,5h / 35 élèves. O</w:t>
      </w:r>
      <w:r w:rsidR="00137525">
        <w:t>r</w:t>
      </w:r>
      <w:r>
        <w:t xml:space="preserve">, si vous n’avez que 32 élèves dans une classe, vous ne disposez plus que de 35,2h : pourtant les 32 élèves ont toujours autant besoin de dédoublements, groupes allégés, AP… que s’ils et elles étaient 35. </w:t>
      </w:r>
    </w:p>
    <w:p w14:paraId="69DB9CAD" w14:textId="7F243122" w:rsidR="00300CC3" w:rsidRDefault="00300CC3" w:rsidP="00F356BF">
      <w:pPr>
        <w:pStyle w:val="Paragraphedeliste"/>
        <w:numPr>
          <w:ilvl w:val="0"/>
          <w:numId w:val="2"/>
        </w:numPr>
        <w:jc w:val="both"/>
      </w:pPr>
      <w:r w:rsidRPr="00F356BF">
        <w:rPr>
          <w:b/>
        </w:rPr>
        <w:t>Cas particulier</w:t>
      </w:r>
      <w:r>
        <w:t xml:space="preserve"> : Dans certaines académies (comme Aix-Marseille), les établissements anciennement classés ZEP disposent d’une politique d’accompagnement spécifique. Il y a une dotation à l’élève mais calculée sur une base de 30 élèves par classe (et non 35). </w:t>
      </w:r>
    </w:p>
    <w:p w14:paraId="29167C0E" w14:textId="77777777" w:rsidR="00300CC3" w:rsidRDefault="00300CC3" w:rsidP="00F356BF">
      <w:pPr>
        <w:ind w:left="360"/>
        <w:jc w:val="both"/>
      </w:pPr>
      <w:r>
        <w:t>Par exemple en seconde générale : 1,2833 h pour chaque élève car 38,5h / 30 élèves = 1,2833</w:t>
      </w:r>
    </w:p>
    <w:p w14:paraId="5EA1EB71" w14:textId="77777777" w:rsidR="00300CC3" w:rsidRDefault="007441AC" w:rsidP="00F356BF">
      <w:pPr>
        <w:jc w:val="both"/>
      </w:pPr>
      <w:r>
        <w:t>Ce tableur</w:t>
      </w:r>
      <w:r w:rsidR="00AE0475">
        <w:t xml:space="preserve"> comporte 3 onglets correspondant aux </w:t>
      </w:r>
      <w:r>
        <w:t xml:space="preserve">3 </w:t>
      </w:r>
      <w:r w:rsidR="00AE0475">
        <w:t>possibilités de calcul des moyens alloués par les académies. Le 4</w:t>
      </w:r>
      <w:r w:rsidR="00AE0475" w:rsidRPr="00AE0475">
        <w:rPr>
          <w:vertAlign w:val="superscript"/>
        </w:rPr>
        <w:t>e</w:t>
      </w:r>
      <w:r w:rsidR="00AE0475">
        <w:t xml:space="preserve"> onglet est un rappel des horaires </w:t>
      </w:r>
      <w:r>
        <w:t>légaux</w:t>
      </w:r>
      <w:r w:rsidR="00AE0475">
        <w:t xml:space="preserve"> en LGT depuis la réforme Blanquer. </w:t>
      </w:r>
    </w:p>
    <w:p w14:paraId="04D23D66" w14:textId="533088CC" w:rsidR="00300CC3" w:rsidRDefault="00300CC3" w:rsidP="00F356BF">
      <w:pPr>
        <w:jc w:val="both"/>
      </w:pPr>
      <w:r>
        <w:t xml:space="preserve">En remplissant l’onglet qui correspond à la situation de votre académie, les sections syndicales pourront vérifier si leur DHG est conforme. </w:t>
      </w:r>
    </w:p>
    <w:p w14:paraId="108A2263" w14:textId="502D9CA6" w:rsidR="00300CC3" w:rsidRPr="00F356BF" w:rsidRDefault="00300CC3" w:rsidP="00F356BF">
      <w:pPr>
        <w:jc w:val="both"/>
        <w:rPr>
          <w:b/>
        </w:rPr>
      </w:pPr>
      <w:r w:rsidRPr="00F356BF">
        <w:rPr>
          <w:b/>
        </w:rPr>
        <w:t>N.B : En général, les DHG arrivent dans les établissements avec « 3 enveloppes »</w:t>
      </w:r>
      <w:r w:rsidR="008C25D7" w:rsidRPr="00F356BF">
        <w:rPr>
          <w:b/>
        </w:rPr>
        <w:t xml:space="preserve"> : </w:t>
      </w:r>
      <w:r w:rsidR="00022C8D" w:rsidRPr="00022C8D">
        <w:t>(voir ci-dessous)</w:t>
      </w:r>
    </w:p>
    <w:p w14:paraId="1E55E983" w14:textId="77777777" w:rsidR="008C25D7" w:rsidRDefault="008C25D7" w:rsidP="00F356BF">
      <w:pPr>
        <w:jc w:val="both"/>
      </w:pPr>
      <w:r w:rsidRPr="00022C8D">
        <w:rPr>
          <w:b/>
        </w:rPr>
        <w:t>- Enveloppe 1</w:t>
      </w:r>
      <w:r>
        <w:t xml:space="preserve"> = Structure (celle qu’il vous faut vérifier)</w:t>
      </w:r>
    </w:p>
    <w:p w14:paraId="60EC0D3F" w14:textId="58206E19" w:rsidR="008C25D7" w:rsidRDefault="008C25D7" w:rsidP="00F356BF">
      <w:pPr>
        <w:jc w:val="both"/>
      </w:pPr>
      <w:r w:rsidRPr="00022C8D">
        <w:rPr>
          <w:b/>
        </w:rPr>
        <w:t>- Enveloppe 2</w:t>
      </w:r>
      <w:r>
        <w:t xml:space="preserve"> = Pondération : heures de 1</w:t>
      </w:r>
      <w:r w:rsidRPr="00F057E2">
        <w:rPr>
          <w:vertAlign w:val="superscript"/>
        </w:rPr>
        <w:t>ère</w:t>
      </w:r>
      <w:r>
        <w:t xml:space="preserve"> et </w:t>
      </w:r>
      <w:proofErr w:type="spellStart"/>
      <w:r>
        <w:t>T</w:t>
      </w:r>
      <w:r w:rsidRPr="00F057E2">
        <w:rPr>
          <w:vertAlign w:val="superscript"/>
        </w:rPr>
        <w:t>les</w:t>
      </w:r>
      <w:proofErr w:type="spellEnd"/>
      <w:r>
        <w:t xml:space="preserve"> à 1,1</w:t>
      </w:r>
      <w:r w:rsidR="00137525">
        <w:t>,</w:t>
      </w:r>
      <w:r>
        <w:t xml:space="preserve"> heures de BTS à 1,25… (il est conseillé de vérifier que cette enveloppe est suffisante. </w:t>
      </w:r>
    </w:p>
    <w:p w14:paraId="5AC50EBD" w14:textId="5E7FCAA8" w:rsidR="008C25D7" w:rsidRDefault="008C25D7" w:rsidP="00F356BF">
      <w:pPr>
        <w:jc w:val="both"/>
      </w:pPr>
      <w:r w:rsidRPr="00022C8D">
        <w:rPr>
          <w:b/>
        </w:rPr>
        <w:t xml:space="preserve">- Enveloppe 3 </w:t>
      </w:r>
      <w:r>
        <w:t>= Dotation de solidarité (optionnelle</w:t>
      </w:r>
      <w:r w:rsidR="00137525">
        <w:t>, également appelée marge qualitative</w:t>
      </w:r>
      <w:r>
        <w:t xml:space="preserve">). Cette dotation de solidarité n’existe que dans certaines académies. Elle varie en général en fonction de l’IPS (Indice de Position Sociale) mais son volume est </w:t>
      </w:r>
      <w:r w:rsidR="00137525">
        <w:t xml:space="preserve">complètement discrétionnaire. Elle est </w:t>
      </w:r>
      <w:r>
        <w:t xml:space="preserve">la variable d’ajustement annuelle. </w:t>
      </w:r>
    </w:p>
    <w:p w14:paraId="54D3553B" w14:textId="77777777" w:rsidR="008C25D7" w:rsidRDefault="008C25D7" w:rsidP="00F356BF">
      <w:pPr>
        <w:jc w:val="both"/>
      </w:pPr>
      <w:r>
        <w:t xml:space="preserve">N’hésitez pas à vérifier comment fonctionnent ces éléments de DHG dans votre académie et à nous remonter ces informations pour que nous ayons une vision complète du fonctionnement national et réduire un peu son opacité. </w:t>
      </w:r>
    </w:p>
    <w:p w14:paraId="1247DACB" w14:textId="61C0E8FD" w:rsidR="00975106" w:rsidRDefault="00975106">
      <w:pPr>
        <w:jc w:val="both"/>
      </w:pPr>
      <w:r>
        <w:t xml:space="preserve">Contacts : </w:t>
      </w:r>
      <w:hyperlink r:id="rId12" w:history="1">
        <w:r w:rsidRPr="00D56D85">
          <w:rPr>
            <w:rStyle w:val="Lienhypertexte"/>
          </w:rPr>
          <w:t>unsen@cgteduc.fr</w:t>
        </w:r>
      </w:hyperlink>
      <w:r>
        <w:t xml:space="preserve"> ou </w:t>
      </w:r>
      <w:hyperlink r:id="rId13" w:history="1">
        <w:r w:rsidRPr="00D56D85">
          <w:rPr>
            <w:rStyle w:val="Lienhypertexte"/>
          </w:rPr>
          <w:t>reynaud.cgt@gmail.com</w:t>
        </w:r>
      </w:hyperlink>
    </w:p>
    <w:sectPr w:rsidR="00975106" w:rsidSect="000F20BC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07D00" w14:textId="77777777" w:rsidR="00F400C9" w:rsidRDefault="00F400C9" w:rsidP="00F356BF">
      <w:pPr>
        <w:spacing w:after="0" w:line="240" w:lineRule="auto"/>
      </w:pPr>
      <w:r>
        <w:separator/>
      </w:r>
    </w:p>
  </w:endnote>
  <w:endnote w:type="continuationSeparator" w:id="0">
    <w:p w14:paraId="2C480B05" w14:textId="77777777" w:rsidR="00F400C9" w:rsidRDefault="00F400C9" w:rsidP="00F3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3EE53" w14:textId="77777777" w:rsidR="00F400C9" w:rsidRDefault="00F400C9" w:rsidP="00F356BF">
      <w:pPr>
        <w:spacing w:after="0" w:line="240" w:lineRule="auto"/>
      </w:pPr>
      <w:r>
        <w:separator/>
      </w:r>
    </w:p>
  </w:footnote>
  <w:footnote w:type="continuationSeparator" w:id="0">
    <w:p w14:paraId="75843573" w14:textId="77777777" w:rsidR="00F400C9" w:rsidRDefault="00F400C9" w:rsidP="00F35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76349"/>
    <w:multiLevelType w:val="hybridMultilevel"/>
    <w:tmpl w:val="C9D46D30"/>
    <w:lvl w:ilvl="0" w:tplc="26061A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925E8"/>
    <w:multiLevelType w:val="hybridMultilevel"/>
    <w:tmpl w:val="34F8850C"/>
    <w:lvl w:ilvl="0" w:tplc="910AA2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475"/>
    <w:rsid w:val="00022C8D"/>
    <w:rsid w:val="000F20BC"/>
    <w:rsid w:val="00137525"/>
    <w:rsid w:val="001C03B1"/>
    <w:rsid w:val="001F397F"/>
    <w:rsid w:val="00226900"/>
    <w:rsid w:val="00300CC3"/>
    <w:rsid w:val="00327B5D"/>
    <w:rsid w:val="0033651D"/>
    <w:rsid w:val="007441AC"/>
    <w:rsid w:val="00835EA6"/>
    <w:rsid w:val="008C25D7"/>
    <w:rsid w:val="00975106"/>
    <w:rsid w:val="00AE0475"/>
    <w:rsid w:val="00B546AA"/>
    <w:rsid w:val="00CA75B0"/>
    <w:rsid w:val="00D075E6"/>
    <w:rsid w:val="00E77CA4"/>
    <w:rsid w:val="00F057E2"/>
    <w:rsid w:val="00F356BF"/>
    <w:rsid w:val="00F400C9"/>
    <w:rsid w:val="00F4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36E49D"/>
  <w15:docId w15:val="{44C57168-64D6-42DF-A21F-E25F5ED1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5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04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C2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25D7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356B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356B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356BF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751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reynaud.cg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nsen@cgteduc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65vYlRBNHua2jj77jj7TDAUOOzI-FO7b/vie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7_-shKv-5rmsKZUJW_aumq9n-I-wZ3Yk/vie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7D700-5DE6-4798-8F90-FCA35A99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2</Pages>
  <Words>622</Words>
  <Characters>3421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utilisateur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tempo</dc:creator>
  <cp:lastModifiedBy>tempo</cp:lastModifiedBy>
  <cp:revision>6</cp:revision>
  <dcterms:created xsi:type="dcterms:W3CDTF">2024-01-19T22:38:00Z</dcterms:created>
  <dcterms:modified xsi:type="dcterms:W3CDTF">2025-01-23T14:24:00Z</dcterms:modified>
</cp:coreProperties>
</file>